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</w:t>
      </w:r>
      <w:r>
        <w:rPr>
          <w:b w:val="1"/>
          <w:bCs w:val="1"/>
        </w:rPr>
        <w:t xml:space="preserve">1178    Servicio público objeto de la concesión administrativa; identificación del concesionario; plazo de la concesión, régimen de financiación y condiciones de prestación del servicio</w:t>
      </w:r>
      <w:r>
        <w:rPr/>
        <w:t xml:space="preserve">.; desde el Consejo Insular de Aguas, se pone en conocimiento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2026-09-20T09:48:15+00:00</dcterms:created>
  <dcterms:modified xsi:type="dcterms:W3CDTF">2026-09-20T09:48:15+00:00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