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  el subapartado </w:t>
      </w:r>
      <w:r>
        <w:rPr>
          <w:b w:val="1"/>
          <w:bCs w:val="1"/>
        </w:rPr>
        <w:t xml:space="preserve">1178    Servicio público objeto de la concesión administrativa; identificación del concesionario; plazo de la concesión, régimen de financiación y condiciones de prestación del servicio</w:t>
      </w:r>
      <w:r>
        <w:rPr/>
        <w:t xml:space="preserve">.; desde el Consejo Insular de Aguas, se pone en conocimiento del público en general, que durante los ejercicios </w:t>
      </w:r>
      <w:r>
        <w:rPr>
          <w:b w:val="1"/>
          <w:bCs w:val="1"/>
        </w:rPr>
        <w:t xml:space="preserve">2021, 2022, 2023, 2024 y 2025</w:t>
      </w:r>
      <w:r>
        <w:rPr/>
        <w:t xml:space="preserve"> no existió actividad en este apartado, pudiendo la ciudadanía emplear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2026-08-05T21:34:15+00:00</dcterms:created>
  <dcterms:modified xsi:type="dcterms:W3CDTF">2026-08-05T21:34:15+00:00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