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/>
        <w:t xml:space="preserve">Al objeto de dar cumplimiento a los Indicadores de la Ley Canaria de Transparencia (Ley 12/2014, de 26 de diciembre) en  el subapartado “</w:t>
      </w:r>
      <w:r>
        <w:rPr>
          <w:b w:val="1"/>
          <w:bCs w:val="1"/>
        </w:rPr>
        <w:t xml:space="preserve">1164 Modificaciones realizadas durante la vigencia: objeto y fecha</w:t>
      </w:r>
      <w:r>
        <w:rPr/>
        <w:t xml:space="preserve">"; desde el Consejo Insular de Aguas, se pone en conocimiento del público en general, que durante los ejercicios, </w:t>
      </w:r>
      <w:r>
        <w:rPr>
          <w:b w:val="1"/>
          <w:bCs w:val="1"/>
        </w:rPr>
        <w:t xml:space="preserve">2022, 2023, 2024 y 2025</w:t>
      </w:r>
      <w:r>
        <w:rPr/>
        <w:t xml:space="preserve"> no existió actividad en este apartado, pudiendo la ciudadanía emplear los medios legalmente establecidos para ejercer su derecho de acceso a la información pública.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2026-11-04T11:06:01+00:00</dcterms:created>
  <dcterms:modified xsi:type="dcterms:W3CDTF">2026-11-04T11:06:01+00:00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