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  el subapartado “</w:t>
      </w:r>
      <w:r>
        <w:rPr>
          <w:b w:val="1"/>
          <w:bCs w:val="1"/>
        </w:rPr>
        <w:t xml:space="preserve">1164 Modificaciones realizadas durante la vigencia: objeto y fecha</w:t>
      </w:r>
      <w:r>
        <w:rPr/>
        <w:t xml:space="preserve">"; desde el Consejo Insular de Aguas, se pone en conocimiento del público en general, que durante los ejercicios, </w:t>
      </w:r>
      <w:r>
        <w:rPr>
          <w:b w:val="1"/>
          <w:bCs w:val="1"/>
        </w:rPr>
        <w:t xml:space="preserve">2022, 2023, 2024 y 2025</w:t>
      </w:r>
      <w:r>
        <w:rPr/>
        <w:t xml:space="preserve"> 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2026-06-21T19:53:48+00:00</dcterms:created>
  <dcterms:modified xsi:type="dcterms:W3CDTF">2026-06-21T19:53:48+00:00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