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Consejo Insular de Aguasno </w:t>
      </w:r>
      <w:r>
        <w:rPr>
          <w:b w:val="1"/>
          <w:bCs w:val="1"/>
        </w:rPr>
        <w:t xml:space="preserve">ha realizado encomiendas de gestión ni encargos a medios propios por importe superior a 5.000 €, IGIC excluido, en los ejercicios 2023 y 2024.</w:t>
      </w:r>
    </w:p>
    <w:p>
      <w:pPr/>
      <w:r>
        <w:rPr/>
        <w:t xml:space="preserve">En </w:t>
      </w:r>
      <w:r>
        <w:rPr>
          <w:b w:val="1"/>
          <w:bCs w:val="1"/>
        </w:rPr>
        <w:t xml:space="preserve">2025 </w:t>
      </w:r>
      <w:r>
        <w:rPr/>
        <w:t xml:space="preserve">no tuvieron lugar subcontrataciones.</w:t>
      </w:r>
    </w:p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81600" w:type="pct"/>
            <w:gridSpan w:val="2"/>
          </w:tcPr>
          <w:p>
            <w:pPr>
              <w:jc w:val="center"/>
            </w:pPr>
            <w:r>
              <w:rPr/>
              <w:t xml:space="preserve">Enlaces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Encomiendas de Gestión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2026-08-05T21:35:26+00:00</dcterms:created>
  <dcterms:modified xsi:type="dcterms:W3CDTF">2026-08-05T21:35:26+00:00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