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“2005 "Descripción del uso del canal interno de información de la Ley 2/2023, y principios esenciales del procedimiento de gestión"; desde el Consejo Insular de Aguas, se pone en conocimiento del público en general, que </w:t>
      </w:r>
      <w:r>
        <w:rPr>
          <w:b w:val="1"/>
          <w:bCs w:val="1"/>
        </w:rPr>
        <w:t xml:space="preserve">durante los ejercicios 2022, 2023, 2024 y 2025 no se cuenta canal propio</w:t>
      </w:r>
      <w:r>
        <w:rPr/>
        <w:t xml:space="preserve">, pudiendo la ciudadanía emplear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2026-05-07T12:16:42+00:00</dcterms:created>
  <dcterms:modified xsi:type="dcterms:W3CDTF">2026-05-07T12:16:42+00:00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