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  el subapartado “2005 "Descripción del uso del canal interno de información de la Ley 2/2023, y principios esenciales del procedimiento de gestión"; desde el Consejo Insular de Aguas, se pone en conocimiento del público en general, que </w:t>
      </w:r>
      <w:r>
        <w:rPr>
          <w:b w:val="1"/>
          <w:bCs w:val="1"/>
        </w:rPr>
        <w:t xml:space="preserve">durante los ejercicios 2022, 2023, 2024 y 2025 no se cuenta canal propio</w:t>
      </w:r>
      <w:r>
        <w:rPr/>
        <w:t xml:space="preserve">, pudiendo la ciudadanía emplear los medios legalmente establecidos para ejercer su derecho de acceso a la información pública.</w:t>
      </w:r>
    </w:p>
    <w:p>
      <w:pPr>
        <w:jc w:val="both"/>
      </w:pPr>
      <w:r>
        <w:rPr/>
        <w:t xml:space="preserve">No obstante, las personas interesadas pueden presentar denuncias o comunicaciones a través del canal de denuncias habilitado por el Cabildo Insular de La Palma.</w:t>
      </w: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2026-09-20T09:50:51+00:00</dcterms:created>
  <dcterms:modified xsi:type="dcterms:W3CDTF">2026-09-20T09:50:51+00:00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