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En 2023, 2024 y 2025 ha no ha tenido proyectos de planes en fase de redacción y aprobación.</w:t>
      </w:r>
    </w:p>
    <w:p>
      <w:pPr>
        <w:jc w:val="both"/>
      </w:pPr>
      <w:r>
        <w:rPr/>
        <w:t xml:space="preserve">Durante los ejercicios 2022, 2023, 2024 y 2025 no se han aprobado planes ni programas y por lo tanto no hay indicadores para su medición.</w:t>
      </w:r>
    </w:p>
    <w:p>
      <w:pPr>
        <w:jc w:val="both"/>
      </w:pPr>
      <w:r>
        <w:rPr/>
        <w:t xml:space="preserve">Durante los ejercicios 2022, 2023, 2024 y 2025 no se han elaborado informes con el grado de cumplimiento y evaluación de los resultados de los planes y programas ni se han introducido o planificado modificaciones.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</w:rPr>
        <w:t xml:space="preserve">Permanecen vigentes los establecidos en años anteriores.</w:t>
      </w:r>
    </w:p>
    <w:tbl>
      <w:tblGrid>
        <w:gridCol w:w="72950" w:type="dxa"/>
        <w:gridCol w:w="433350" w:type="dxa"/>
      </w:tblGrid>
      <w:tblPr>
        <w:tblW w:w="3600" w:type="pct"/>
        <w:tblLayout w:type="autofit"/>
        <w:bidiVisual w:val="0"/>
      </w:tblPr>
      <w:tr>
        <w:trPr>
          <w:tblHeader w:val="1"/>
        </w:trPr>
        <w:tc>
          <w:tcPr>
            <w:tcW w:w="729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433350" w:type="pct"/>
          </w:tcPr>
          <w:p>
            <w:pPr/>
            <w:r>
              <w:rPr>
                <w:b w:val="1"/>
                <w:bCs w:val="1"/>
              </w:rPr>
              <w:t xml:space="preserve">Documento/Enlace</w:t>
            </w:r>
          </w:p>
        </w:tc>
      </w:tr>
      <w:tr>
        <w:trPr/>
        <w:tc>
          <w:tcPr>
            <w:tcW w:w="72950" w:type="pct"/>
          </w:tcPr>
          <w:p>
            <w:pPr/>
            <w:r>
              <w:rPr/>
              <w:t xml:space="preserve">Planificación hidrológica</w:t>
            </w:r>
          </w:p>
        </w:tc>
        <w:tc>
          <w:tcPr>
            <w:tcW w:w="433350" w:type="pct"/>
          </w:tcPr>
          <w:p>
            <w:pPr/>
          </w:p>
        </w:tc>
      </w:tr>
      <w:tr>
        <w:trPr/>
        <w:tc>
          <w:tcPr>
            <w:tcW w:w="72950" w:type="pct"/>
          </w:tcPr>
          <w:p>
            <w:pPr/>
            <w:r>
              <w:rPr/>
              <w:t xml:space="preserve">Evaluación ambiental del 2º ciclo</w:t>
            </w:r>
          </w:p>
        </w:tc>
        <w:tc>
          <w:tcPr>
            <w:tcW w:w="433350" w:type="pct"/>
          </w:tcPr>
          <w:p>
            <w:pPr/>
          </w:p>
        </w:tc>
      </w:tr>
    </w:tbl>
    <w:p>
      <w:pPr>
        <w:jc w:val="both"/>
      </w:pPr>
    </w:p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</w:rPr>
        <w:t xml:space="preserve">Dentro de cada uno de los planes, pueden acceder a los indicadores que permitan su seguimiento y evaluación; grado de cumplimiento y evaluación de los resultados de los planes y programas y, en su caso, de las modificaciones introducidas o que pretenden introducirse respecto de lo planificado.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2026-06-21T19:53:17+00:00</dcterms:created>
  <dcterms:modified xsi:type="dcterms:W3CDTF">2026-06-21T19:53:17+00:00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