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2023, 2024 y 2025 ha no ha tenido proyectos de planes en fase de redacción y aprobación.</w:t>
      </w:r>
    </w:p>
    <w:p>
      <w:pPr>
        <w:jc w:val="both"/>
      </w:pPr>
      <w:r>
        <w:rPr/>
        <w:t xml:space="preserve">Durante los ejercicios 2022, 2023, 2024 y 2025 no se han aprobado planes ni programas y por lo tanto no hay indicadores para su medición.</w:t>
      </w:r>
    </w:p>
    <w:p>
      <w:pPr>
        <w:jc w:val="both"/>
      </w:pPr>
      <w:r>
        <w:rPr/>
        <w:t xml:space="preserve">Durante los ejercicios 2022, 2023, 2024 y 2025 no se han elaborado informes con el grado de cumplimiento y evaluación de los resultados de los planes y programas ni se han introducido o planificado modificaciones.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Permanecen vigentes los establecidos en años anteriores.</w:t>
      </w:r>
    </w:p>
    <w:tbl>
      <w:tblGrid>
        <w:gridCol w:w="72950" w:type="dxa"/>
        <w:gridCol w:w="433350" w:type="dxa"/>
      </w:tblGrid>
      <w:tblPr>
        <w:tblW w:w="3600" w:type="pct"/>
        <w:tblLayout w:type="autofit"/>
        <w:bidiVisual w:val="0"/>
      </w:tblPr>
      <w:tr>
        <w:trPr>
          <w:tblHeader w:val="1"/>
        </w:trPr>
        <w:tc>
          <w:tcPr>
            <w:tcW w:w="72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33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Planificación hidrológica</w:t>
            </w:r>
          </w:p>
        </w:tc>
        <w:tc>
          <w:tcPr>
            <w:tcW w:w="433350" w:type="pct"/>
          </w:tcPr>
          <w:p>
            <w:pPr/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Evaluación ambiental del 2º ciclo</w:t>
            </w:r>
          </w:p>
        </w:tc>
        <w:tc>
          <w:tcPr>
            <w:tcW w:w="43335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Dentro de cada uno de los planes, pueden acceder a los indicadores que permitan su seguimiento y evaluación; grado de cumplimiento y evaluación de los resultados de los planes y programas y, en su caso, de las modificaciones introducidas o que pretenden introducirse respecto de lo planificado.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2026-05-07T12:16:27+00:00</dcterms:created>
  <dcterms:modified xsi:type="dcterms:W3CDTF">2026-05-07T12:16:27+00:00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