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Consejo,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b w:val="1"/>
          <w:bCs w:val="1"/>
        </w:rPr>
        <w:t xml:space="preserve">No hay preguntas frecuentes en los años 2023, 2024 y 2025 sino las relativas a cada licitación en concreto.</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r>
        <w:rPr/>
        <w:t xml:space="preserve">Asimismo, indicar que el Consejo Insular de Aguas no dispone de un perfil de contratante específico, sino que utiliza la Plataforma de Contratación del Estado. </w:t>
      </w:r>
    </w:p>
    <w:p>
      <w:pPr/>
      <w:r>
        <w:rPr/>
        <w:t xml:space="preserve"> </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Normas de contratación</w:t>
            </w:r>
          </w:p>
        </w:tc>
        <w:tc>
          <w:tcPr/>
          <w:p>
            <w:pPr/>
          </w:p>
        </w:tc>
      </w:tr>
    </w:tbl>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Consejo Insular de Aguas</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Consejo Insular de Aguas?</w:t>
      </w:r>
      <w:r>
        <w:rPr>
          <w:b w:val="1"/>
          <w:bCs w:val="1"/>
        </w:rPr>
        <w:t xml:space="preserve"> </w:t>
      </w:r>
    </w:p>
    <w:p>
      <w:pPr/>
      <w:r>
        <w:rPr/>
        <w:t xml:space="preserve">Se ha optado por alojar los perfiles de contratante de sus órganos de contratación en</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Preguntas Frecuentes</w:t>
            </w: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2026-09-20T09:51:15+00:00</dcterms:created>
  <dcterms:modified xsi:type="dcterms:W3CDTF">2026-09-20T09:51:15+00:00</dcterms:modified>
</cp:coreProperties>
</file>

<file path=docProps/custom.xml><?xml version="1.0" encoding="utf-8"?>
<Properties xmlns="http://schemas.openxmlformats.org/officeDocument/2006/custom-properties" xmlns:vt="http://schemas.openxmlformats.org/officeDocument/2006/docPropsVTypes"/>
</file>