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2025</w:t>
      </w:r>
    </w:p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Importe Total Contratos Menores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90.268,80</w:t>
            </w:r>
          </w:p>
        </w:tc>
      </w:tr>
    </w:tbl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Porcentaje de Menores sobre el Total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36,96%</w:t>
            </w:r>
          </w:p>
        </w:tc>
      </w:tr>
    </w:tbl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Abierto</w:t>
            </w:r>
          </w:p>
        </w:tc>
        <w:tc>
          <w:tcPr>
            <w:tcW w:w="1000" w:type="pct"/>
          </w:tcPr>
          <w:p>
            <w:pPr/>
            <w:r>
              <w:rPr/>
              <w:t xml:space="preserve">Menor</w:t>
            </w:r>
          </w:p>
        </w:tc>
        <w:tc>
          <w:tcPr>
            <w:tcW w:w="1000" w:type="pct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000" w:type="pct"/>
          </w:tcPr>
          <w:p>
            <w:pPr/>
            <w:r>
              <w:rPr/>
              <w:t xml:space="preserve">Otros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Total</w:t>
            </w:r>
          </w:p>
        </w:tc>
        <w:tc>
          <w:tcPr>
            <w:tcW w:w="1000" w:type="pct"/>
          </w:tcPr>
          <w:p>
            <w:pPr/>
            <w:r>
              <w:rPr/>
              <w:t xml:space="preserve">244.251,20</w:t>
            </w:r>
          </w:p>
        </w:tc>
        <w:tc>
          <w:tcPr>
            <w:tcW w:w="1000" w:type="pct"/>
          </w:tcPr>
          <w:p>
            <w:pPr/>
            <w:r>
              <w:rPr/>
              <w:t xml:space="preserve">90.268,80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Porcentaje</w:t>
            </w:r>
          </w:p>
        </w:tc>
        <w:tc>
          <w:tcPr>
            <w:tcW w:w="1000" w:type="pct"/>
          </w:tcPr>
          <w:p>
            <w:pPr/>
            <w:r>
              <w:rPr/>
              <w:t xml:space="preserve">73,02%</w:t>
            </w:r>
          </w:p>
        </w:tc>
        <w:tc>
          <w:tcPr>
            <w:tcW w:w="1000" w:type="pct"/>
          </w:tcPr>
          <w:p>
            <w:pPr/>
            <w:r>
              <w:rPr/>
              <w:t xml:space="preserve">26,98%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0,00%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0,00%</w:t>
            </w: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2024</w:t>
      </w:r>
    </w:p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Importe Total Contratos Menores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13.110.391,16</w:t>
            </w:r>
          </w:p>
        </w:tc>
      </w:tr>
    </w:tbl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Porcentaje de Menores sobre el Total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10,83%</w:t>
            </w:r>
          </w:p>
        </w:tc>
      </w:tr>
    </w:tbl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Abierto</w:t>
            </w:r>
          </w:p>
        </w:tc>
        <w:tc>
          <w:tcPr>
            <w:tcW w:w="1000" w:type="pct"/>
          </w:tcPr>
          <w:p>
            <w:pPr/>
            <w:r>
              <w:rPr/>
              <w:t xml:space="preserve">Menor</w:t>
            </w:r>
          </w:p>
        </w:tc>
        <w:tc>
          <w:tcPr>
            <w:tcW w:w="1000" w:type="pct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000" w:type="pct"/>
          </w:tcPr>
          <w:p>
            <w:pPr/>
            <w:r>
              <w:rPr/>
              <w:t xml:space="preserve">Otros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Total</w:t>
            </w:r>
          </w:p>
        </w:tc>
        <w:tc>
          <w:tcPr>
            <w:tcW w:w="1000" w:type="pct"/>
          </w:tcPr>
          <w:p>
            <w:pPr/>
            <w:r>
              <w:rPr/>
              <w:t xml:space="preserve">8.966.264,08</w:t>
            </w:r>
          </w:p>
        </w:tc>
        <w:tc>
          <w:tcPr>
            <w:tcW w:w="1000" w:type="pct"/>
          </w:tcPr>
          <w:p>
            <w:pPr/>
            <w:r>
              <w:rPr/>
              <w:t xml:space="preserve">166.507,44</w:t>
            </w:r>
          </w:p>
        </w:tc>
        <w:tc>
          <w:tcPr>
            <w:tcW w:w="1000" w:type="pct"/>
          </w:tcPr>
          <w:p>
            <w:pPr/>
            <w:r>
              <w:rPr/>
              <w:t xml:space="preserve">3.677.839,57</w:t>
            </w:r>
          </w:p>
        </w:tc>
        <w:tc>
          <w:tcPr>
            <w:tcW w:w="1000" w:type="pct"/>
          </w:tcPr>
          <w:p>
            <w:pPr/>
            <w:r>
              <w:rPr/>
              <w:t xml:space="preserve">599.560,74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Porcentaje</w:t>
            </w:r>
          </w:p>
        </w:tc>
        <w:tc>
          <w:tcPr>
            <w:tcW w:w="1000" w:type="pct"/>
          </w:tcPr>
          <w:p>
            <w:pPr/>
            <w:r>
              <w:rPr/>
              <w:t xml:space="preserve">68,39%</w:t>
            </w:r>
          </w:p>
        </w:tc>
        <w:tc>
          <w:tcPr>
            <w:tcW w:w="1000" w:type="pct"/>
          </w:tcPr>
          <w:p>
            <w:pPr/>
            <w:r>
              <w:rPr/>
              <w:t xml:space="preserve">1,27%</w:t>
            </w:r>
          </w:p>
        </w:tc>
        <w:tc>
          <w:tcPr>
            <w:tcW w:w="1000" w:type="pct"/>
          </w:tcPr>
          <w:p>
            <w:pPr/>
            <w:r>
              <w:rPr/>
              <w:t xml:space="preserve">28,05%</w:t>
            </w:r>
          </w:p>
        </w:tc>
        <w:tc>
          <w:tcPr>
            <w:tcW w:w="1000" w:type="pct"/>
          </w:tcPr>
          <w:p>
            <w:pPr/>
            <w:r>
              <w:rPr/>
              <w:t xml:space="preserve">4,57%</w:t>
            </w: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2023</w:t>
      </w:r>
    </w:p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Importe Total Contratos Menores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13.110.391,16</w:t>
            </w:r>
          </w:p>
        </w:tc>
      </w:tr>
    </w:tbl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Porcentaje de Menores sobre el Total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1,27%</w:t>
            </w:r>
          </w:p>
        </w:tc>
      </w:tr>
    </w:tbl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Abierto</w:t>
            </w:r>
          </w:p>
        </w:tc>
        <w:tc>
          <w:tcPr>
            <w:tcW w:w="1000" w:type="pct"/>
          </w:tcPr>
          <w:p>
            <w:pPr/>
            <w:r>
              <w:rPr/>
              <w:t xml:space="preserve">Menor</w:t>
            </w:r>
          </w:p>
        </w:tc>
        <w:tc>
          <w:tcPr>
            <w:tcW w:w="1000" w:type="pct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000" w:type="pct"/>
          </w:tcPr>
          <w:p>
            <w:pPr/>
            <w:r>
              <w:rPr/>
              <w:t xml:space="preserve">Otros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Total</w:t>
            </w:r>
          </w:p>
        </w:tc>
        <w:tc>
          <w:tcPr>
            <w:tcW w:w="1000" w:type="pct"/>
          </w:tcPr>
          <w:p>
            <w:pPr/>
            <w:r>
              <w:rPr/>
              <w:t xml:space="preserve">1.890.000,00</w:t>
            </w:r>
          </w:p>
        </w:tc>
        <w:tc>
          <w:tcPr>
            <w:tcW w:w="1000" w:type="pct"/>
          </w:tcPr>
          <w:p>
            <w:pPr/>
            <w:r>
              <w:rPr/>
              <w:t xml:space="preserve">143.125,49</w:t>
            </w:r>
          </w:p>
        </w:tc>
        <w:tc>
          <w:tcPr>
            <w:tcW w:w="1000" w:type="pct"/>
          </w:tcPr>
          <w:p>
            <w:pPr/>
            <w:r>
              <w:rPr/>
              <w:t xml:space="preserve">352.381,38</w:t>
            </w:r>
          </w:p>
        </w:tc>
        <w:tc>
          <w:tcPr>
            <w:tcW w:w="1000" w:type="pct"/>
          </w:tcPr>
          <w:p>
            <w:pPr/>
            <w:r>
              <w:rPr/>
              <w:t xml:space="preserve">868.880,90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Porcentaje</w:t>
            </w:r>
          </w:p>
        </w:tc>
        <w:tc>
          <w:tcPr>
            <w:tcW w:w="1000" w:type="pct"/>
          </w:tcPr>
          <w:p>
            <w:pPr/>
            <w:r>
              <w:rPr/>
              <w:t xml:space="preserve">58,07%</w:t>
            </w:r>
          </w:p>
        </w:tc>
        <w:tc>
          <w:tcPr>
            <w:tcW w:w="1000" w:type="pct"/>
          </w:tcPr>
          <w:p>
            <w:pPr/>
            <w:r>
              <w:rPr/>
              <w:t xml:space="preserve">4,40%</w:t>
            </w:r>
          </w:p>
        </w:tc>
        <w:tc>
          <w:tcPr>
            <w:tcW w:w="1000" w:type="pct"/>
          </w:tcPr>
          <w:p>
            <w:pPr/>
            <w:r>
              <w:rPr/>
              <w:t xml:space="preserve">10,83%</w:t>
            </w:r>
          </w:p>
        </w:tc>
        <w:tc>
          <w:tcPr>
            <w:tcW w:w="1000" w:type="pct"/>
          </w:tcPr>
          <w:p>
            <w:pPr/>
            <w:r>
              <w:rPr/>
              <w:t xml:space="preserve">26,70%</w:t>
            </w:r>
          </w:p>
        </w:tc>
      </w:tr>
    </w:tbl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Datos estadísticos por procedimiento de contratación</w:t>
      </w:r>
    </w:p>
    <w:p>
      <w:pPr/>
      <w:r>
        <w:rPr/>
        <w:t xml:space="preserve"> </w:t>
      </w:r>
    </w:p>
    <w:tbl>
      <w:tblGrid>
        <w:gridCol w:w="193600" w:type="dxa"/>
        <w:gridCol w:w="341600" w:type="dxa"/>
        <w:gridCol w:w="24850" w:type="dxa"/>
        <w:gridCol w:w="439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3600" w:type="pct"/>
          </w:tcPr>
          <w:p>
            <w:pPr/>
            <w:r>
              <w:rPr/>
              <w:t xml:space="preserve">Año</w:t>
            </w:r>
          </w:p>
        </w:tc>
        <w:tc>
          <w:tcPr>
            <w:tcW w:w="34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4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399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2026-11-04T11:04:43+00:00</dcterms:created>
  <dcterms:modified xsi:type="dcterms:W3CDTF">2026-11-04T11:04:43+00:00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