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7.Servicios y procedimientos, concretamente en el subapartado “1080 - Cartas de servicios elaboradas y, en su caso, compromisos asumidos y grado de cumplimiento de los mismos”, desde el Consejo Insular de Aguas", se pone en conocimiento que durante los ejercicios</w:t>
      </w:r>
      <w:r>
        <w:rPr>
          <w:b w:val="1"/>
          <w:bCs w:val="1"/>
        </w:rPr>
        <w:t xml:space="preserve"> 2022, 2023, 2024</w:t>
      </w:r>
      <w:r>
        <w:rPr/>
        <w:t xml:space="preserve"> </w:t>
      </w:r>
      <w:r>
        <w:rPr>
          <w:b w:val="1"/>
          <w:bCs w:val="1"/>
        </w:rPr>
        <w:t xml:space="preserve">y 2025</w:t>
      </w:r>
      <w:r>
        <w:rPr/>
        <w:t xml:space="preserve"> </w:t>
      </w:r>
      <w:r>
        <w:rPr>
          <w:b w:val="1"/>
          <w:bCs w:val="1"/>
        </w:rPr>
        <w:t xml:space="preserve">no se han elaborado cartas de servicios</w:t>
      </w:r>
      <w:r>
        <w:rPr/>
        <w:t xml:space="preserve">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2026-06-21T19:50:20+00:00</dcterms:created>
  <dcterms:modified xsi:type="dcterms:W3CDTF">2026-06-21T19:50:20+00:00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