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both"/>
      </w:pPr>
      <w:r>
        <w:rPr/>
        <w:t xml:space="preserve">Al objeto de dar cumplimiento a los Indicadores de la Ley Canaria de Transparencia (Ley 12/2014, de 26 de diciembre) en el subapartado “1096 - Informes de auditoría de cuentas y de fiscalización por los órganos de control externo”, desde el Consejo Insular de Aguas", se pone en conocimiento que durante los ejercicios</w:t>
      </w:r>
      <w:r>
        <w:rPr>
          <w:b w:val="1"/>
          <w:bCs w:val="1"/>
        </w:rPr>
        <w:t xml:space="preserve"> 2019, 2021, 2022,  2023</w:t>
      </w:r>
      <w:r>
        <w:rPr/>
        <w:t xml:space="preserve">, </w:t>
      </w:r>
      <w:r>
        <w:rPr>
          <w:b w:val="1"/>
          <w:bCs w:val="1"/>
        </w:rPr>
        <w:t xml:space="preserve">2024 y 2025 no ha habido informes de auditoría de cuentas y de fiscalización por órganos de control externos</w:t>
      </w:r>
    </w:p>
    <w:tbl>
      <w:tblGrid>
        <w:gridCol/>
        <w:gridCol/>
        <w:gridCol/>
        <w:gridCol/>
      </w:tblGrid>
      <w:tblPr>
        <w:tblW w:w="0" w:type="auto"/>
        <w:tblLayout w:type="autofit"/>
        <w:bidiVisual w:val="0"/>
      </w:tblPr>
      <w:tr>
        <w:trPr>
          <w:tblHeader w:val="1"/>
        </w:trPr>
        <w:tc>
          <w:tcPr/>
          <w:p>
            <w:pPr/>
            <w:r>
              <w:rPr>
                <w:b w:val="1"/>
                <w:bCs w:val="1"/>
              </w:rPr>
              <w:t xml:space="preserve">Año</w:t>
            </w:r>
          </w:p>
        </w:tc>
        <w:tc>
          <w:tcPr/>
          <w:p>
            <w:pPr/>
            <w:r>
              <w:rPr>
                <w:b w:val="1"/>
                <w:bCs w:val="1"/>
              </w:rPr>
              <w:t xml:space="preserve">Denominación</w:t>
            </w:r>
          </w:p>
        </w:tc>
        <w:tc>
          <w:tcPr/>
          <w:p>
            <w:pPr/>
            <w:r>
              <w:rPr>
                <w:b w:val="1"/>
                <w:bCs w:val="1"/>
              </w:rPr>
              <w:t xml:space="preserve">Documento</w:t>
            </w:r>
          </w:p>
        </w:tc>
        <w:tc>
          <w:tcPr/>
          <w:p>
            <w:pPr/>
            <w:r>
              <w:rPr>
                <w:b w:val="1"/>
                <w:bCs w:val="1"/>
              </w:rPr>
              <w:t xml:space="preserve">Formato Abierto</w:t>
            </w:r>
          </w:p>
        </w:tc>
      </w:tr>
      <w:tr>
        <w:trPr/>
        <w:tc>
          <w:tcPr/>
          <w:p>
            <w:pPr/>
            <w:r>
              <w:rPr/>
              <w:t xml:space="preserve">2020</w:t>
            </w:r>
          </w:p>
        </w:tc>
        <w:tc>
          <w:tcPr/>
          <w:p>
            <w:pPr/>
            <w:r>
              <w:rPr/>
              <w:t xml:space="preserve">Informes de Auditoría</w:t>
            </w:r>
          </w:p>
        </w:tc>
        <w:tc>
          <w:tcPr/>
          <w:p>
            <w:pPr/>
          </w:p>
        </w:tc>
        <w:tc>
          <w:tcPr/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2026-06-21T19:51:20+00:00</dcterms:created>
  <dcterms:modified xsi:type="dcterms:W3CDTF">2026-06-21T19:51:20+00:00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