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el subapartado “1056 - Viajes, manutención, alojamiento y asistencia a órganos colegiados o sociales", se pone en conocimiento que durante los ejercicios</w:t>
      </w:r>
      <w:r>
        <w:rPr>
          <w:b w:val="1"/>
          <w:bCs w:val="1"/>
        </w:rPr>
        <w:t xml:space="preserve"> 2021, 2022 y 2023</w:t>
      </w:r>
      <w:r>
        <w:rPr/>
        <w:t xml:space="preserve"> </w:t>
      </w:r>
      <w:r>
        <w:rPr>
          <w:b w:val="1"/>
          <w:bCs w:val="1"/>
        </w:rPr>
        <w:t xml:space="preserve">no hubo actividad</w:t>
      </w:r>
      <w:r>
        <w:rPr/>
        <w:t xml:space="preserve">, pudiendo utilizar la ciudadanía los medios legalmente establecidos para ejercer su derecho de acceso a la información pública. </w:t>
      </w:r>
    </w:p>
    <w:p>
      <w:pPr/>
      <w:r>
        <w:rPr/>
        <w:t xml:space="preserve">Durante los ejercicios </w:t>
      </w:r>
      <w:r>
        <w:rPr>
          <w:b w:val="1"/>
          <w:bCs w:val="1"/>
        </w:rPr>
        <w:t xml:space="preserve">2023 y 2024 </w:t>
      </w:r>
      <w:r>
        <w:rPr/>
        <w:t xml:space="preserve">no se han contemplado indemnizaciones por asistencia por asistencia a junta.</w:t>
      </w:r>
    </w:p>
    <w:p>
      <w:pPr/>
      <w:r>
        <w:rPr/>
        <w:t xml:space="preserve">Esta institución no cuenta con </w:t>
      </w:r>
      <w:r>
        <w:rPr>
          <w:b w:val="1"/>
          <w:bCs w:val="1"/>
        </w:rPr>
        <w:t xml:space="preserve">Indemnizaciones percibidas con ocasión del abandono del cargo</w:t>
      </w:r>
      <w:r>
        <w:rPr/>
        <w:t xml:space="preserve"> en los años 2023, 2024 y 2025.</w:t>
      </w:r>
    </w:p>
    <w:tbl>
      <w:tblGrid>
        <w:gridCol w:w="2967850" w:type="dxa"/>
        <w:gridCol w:w="117700" w:type="dxa"/>
        <w:gridCol w:w="322300" w:type="dxa"/>
        <w:gridCol w:w="232050" w:type="dxa"/>
      </w:tblGrid>
      <w:tblPr>
        <w:tblW w:w="362600" w:type="pct"/>
        <w:tblLayout w:type="autofit"/>
        <w:bidiVisual w:val="0"/>
      </w:tblPr>
      <w:tr>
        <w:trPr>
          <w:tblHeader w:val="1"/>
        </w:trPr>
        <w:tc>
          <w:tcPr>
            <w:tcW w:w="2967850" w:type="pct"/>
          </w:tcPr>
          <w:p>
            <w:pPr/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11770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32230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  <w:tc>
          <w:tcPr>
            <w:tcW w:w="232050" w:type="pct"/>
          </w:tcPr>
          <w:p>
            <w:pPr/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>
            <w:tcW w:w="2967850" w:type="pct"/>
          </w:tcPr>
          <w:p>
            <w:pPr/>
            <w:r>
              <w:rPr/>
              <w:t xml:space="preserve">2026</w:t>
            </w:r>
          </w:p>
        </w:tc>
        <w:tc>
          <w:tcPr>
            <w:tcW w:w="117700" w:type="pct"/>
          </w:tcPr>
          <w:p>
            <w:pPr/>
            <w:r>
              <w:rPr/>
              <w:t xml:space="preserve">Indemnizaciones por razón de servicio</w:t>
            </w:r>
          </w:p>
        </w:tc>
        <w:tc>
          <w:tcPr>
            <w:tcW w:w="322300" w:type="pct"/>
          </w:tcPr>
          <w:p>
            <w:pPr/>
            <w:r>
              <w:rPr/>
              <w:t xml:space="preserve"> </w:t>
            </w:r>
          </w:p>
        </w:tc>
        <w:tc>
          <w:tcPr>
            <w:tcW w:w="232050" w:type="pct"/>
          </w:tcPr>
          <w:p>
            <w:pPr/>
          </w:p>
        </w:tc>
      </w:tr>
      <w:tr>
        <w:trPr/>
        <w:tc>
          <w:tcPr>
            <w:tcW w:w="2967850" w:type="pct"/>
          </w:tcPr>
          <w:p>
            <w:pPr/>
            <w:r>
              <w:rPr/>
              <w:t xml:space="preserve">2025</w:t>
            </w:r>
          </w:p>
        </w:tc>
        <w:tc>
          <w:tcPr>
            <w:tcW w:w="117700" w:type="pct"/>
          </w:tcPr>
          <w:p>
            <w:pPr/>
            <w:r>
              <w:rPr/>
              <w:t xml:space="preserve">Indemnizaciones por razón de servicio</w:t>
            </w:r>
          </w:p>
        </w:tc>
        <w:tc>
          <w:tcPr>
            <w:tcW w:w="322300" w:type="pct"/>
          </w:tcPr>
          <w:p>
            <w:pPr/>
            <w:r>
              <w:rPr/>
              <w:t xml:space="preserve"> </w:t>
            </w:r>
          </w:p>
        </w:tc>
        <w:tc>
          <w:tcPr>
            <w:tcW w:w="232050" w:type="pct"/>
          </w:tcPr>
          <w:p>
            <w:pPr/>
          </w:p>
        </w:tc>
      </w:tr>
      <w:tr>
        <w:trPr/>
        <w:tc>
          <w:tcPr>
            <w:tcW w:w="2967850" w:type="pct"/>
          </w:tcPr>
          <w:p>
            <w:pPr/>
            <w:r>
              <w:rPr/>
              <w:t xml:space="preserve">2024</w:t>
            </w:r>
          </w:p>
        </w:tc>
        <w:tc>
          <w:tcPr>
            <w:tcW w:w="117700" w:type="pct"/>
          </w:tcPr>
          <w:p>
            <w:pPr/>
            <w:r>
              <w:rPr/>
              <w:t xml:space="preserve">Indemnizaciones por razón de servicio</w:t>
            </w:r>
          </w:p>
        </w:tc>
        <w:tc>
          <w:tcPr>
            <w:tcW w:w="322300" w:type="pct"/>
          </w:tcPr>
          <w:p>
            <w:pPr/>
            <w:r>
              <w:rPr/>
              <w:t xml:space="preserve"> </w:t>
            </w:r>
          </w:p>
        </w:tc>
        <w:tc>
          <w:tcPr>
            <w:tcW w:w="232050" w:type="pct"/>
          </w:tcPr>
          <w:p>
            <w:pPr/>
          </w:p>
        </w:tc>
      </w:tr>
      <w:tr>
        <w:trPr/>
        <w:tc>
          <w:tcPr>
            <w:tcW w:w="2967850" w:type="pct"/>
          </w:tcPr>
          <w:p>
            <w:pPr/>
            <w:r>
              <w:rPr/>
              <w:t xml:space="preserve">2020</w:t>
            </w:r>
          </w:p>
        </w:tc>
        <w:tc>
          <w:tcPr>
            <w:tcW w:w="117700" w:type="pct"/>
          </w:tcPr>
          <w:p>
            <w:pPr/>
            <w:r>
              <w:rPr/>
              <w:t xml:space="preserve">Dietas CIA</w:t>
            </w:r>
          </w:p>
        </w:tc>
        <w:tc>
          <w:tcPr>
            <w:tcW w:w="322300" w:type="pct"/>
          </w:tcPr>
          <w:p>
            <w:pPr/>
          </w:p>
        </w:tc>
        <w:tc>
          <w:tcPr>
            <w:tcW w:w="232050" w:type="pct"/>
          </w:tcPr>
          <w:p>
            <w:pPr/>
          </w:p>
        </w:tc>
      </w:tr>
      <w:tr>
        <w:trPr/>
        <w:tc>
          <w:tcPr>
            <w:tcW w:w="2967850" w:type="pct"/>
          </w:tcPr>
          <w:p>
            <w:pPr/>
            <w:r>
              <w:rPr/>
              <w:t xml:space="preserve">2020</w:t>
            </w:r>
          </w:p>
        </w:tc>
        <w:tc>
          <w:tcPr>
            <w:tcW w:w="117700" w:type="pct"/>
          </w:tcPr>
          <w:p>
            <w:pPr/>
            <w:r>
              <w:rPr/>
              <w:t xml:space="preserve">Locomoción</w:t>
            </w:r>
          </w:p>
        </w:tc>
        <w:tc>
          <w:tcPr>
            <w:tcW w:w="322300" w:type="pct"/>
          </w:tcPr>
          <w:p>
            <w:pPr/>
          </w:p>
        </w:tc>
        <w:tc>
          <w:tcPr>
            <w:tcW w:w="232050" w:type="pct"/>
          </w:tcPr>
          <w:p>
            <w:pPr/>
          </w:p>
        </w:tc>
      </w:tr>
      <w:tr>
        <w:trPr/>
        <w:tc>
          <w:tcPr>
            <w:tcW w:w="2967850" w:type="pct"/>
          </w:tcPr>
          <w:p>
            <w:pPr/>
            <w:r>
              <w:rPr/>
              <w:t xml:space="preserve">2020</w:t>
            </w:r>
          </w:p>
        </w:tc>
        <w:tc>
          <w:tcPr>
            <w:tcW w:w="117700" w:type="pct"/>
          </w:tcPr>
          <w:p>
            <w:pPr/>
            <w:r>
              <w:rPr/>
              <w:t xml:space="preserve">Indemnizaciones por razón de servicio</w:t>
            </w:r>
          </w:p>
        </w:tc>
        <w:tc>
          <w:tcPr>
            <w:tcW w:w="322300" w:type="pct"/>
          </w:tcPr>
          <w:p>
            <w:pPr/>
          </w:p>
        </w:tc>
        <w:tc>
          <w:tcPr>
            <w:tcW w:w="2320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2026-11-04T11:04:29+00:00</dcterms:created>
  <dcterms:modified xsi:type="dcterms:W3CDTF">2026-11-04T11:04:29+00:00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