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titulares de los órganos de gobierno no perciben retribuciones por parte de esta entidad.</w:t>
      </w:r>
    </w:p>
    <w:p>
      <w:pPr/>
      <w:r>
        <w:rPr/>
        <w:t xml:space="preserve">   </w:t>
      </w:r>
    </w:p>
    <w:tbl>
      <w:tblGrid>
        <w:gridCol w:w="49650" w:type="dxa"/>
        <w:gridCol w:w="3150" w:type="dxa"/>
        <w:gridCol w:w="3050" w:type="dxa"/>
        <w:gridCol w:w="337700" w:type="dxa"/>
        <w:gridCol w:w="3899250" w:type="dxa"/>
      </w:tblGrid>
      <w:tblPr>
        <w:tblW w:w="114050" w:type="pct"/>
        <w:tblLayout w:type="autofit"/>
        <w:bidiVisual w:val="0"/>
      </w:tblPr>
      <w:tr>
        <w:trPr>
          <w:tblHeader w:val="1"/>
        </w:trPr>
        <w:tc>
          <w:tcPr>
            <w:tcW w:w="496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  <w:tc>
          <w:tcPr>
            <w:tcW w:w="38992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2025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2024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  <w:r>
              <w:rPr/>
              <w:t xml:space="preserve"> </w:t>
            </w:r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2021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9650" w:type="pct"/>
          </w:tcPr>
          <w:p>
            <w:pPr/>
            <w:r>
              <w:rPr/>
              <w:t xml:space="preserve">2020</w:t>
            </w:r>
          </w:p>
        </w:tc>
        <w:tc>
          <w:tcPr>
            <w:tcW w:w="3150" w:type="pct"/>
          </w:tcPr>
          <w:p>
            <w:pPr/>
            <w:r>
              <w:rPr/>
              <w:t xml:space="preserve">Retribuciones altos cargos o asimilados</w:t>
            </w:r>
          </w:p>
        </w:tc>
        <w:tc>
          <w:tcPr>
            <w:tcW w:w="3050" w:type="pct"/>
          </w:tcPr>
          <w:p>
            <w:pPr/>
          </w:p>
        </w:tc>
        <w:tc>
          <w:tcPr>
            <w:tcW w:w="337700" w:type="pct"/>
          </w:tcPr>
          <w:p>
            <w:pPr/>
          </w:p>
        </w:tc>
        <w:tc>
          <w:tcPr>
            <w:tcW w:w="389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2026-05-07T12:14:47+00:00</dcterms:created>
  <dcterms:modified xsi:type="dcterms:W3CDTF">2026-05-07T12:14:47+00:00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