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solicitudes se podrán presentar solicitando cita previa a través del enlace: </w:t>
      </w:r>
      <w:r>
        <w:rPr/>
        <w:t xml:space="preserve">, así como en los lugares previstos en el artículo 16.4. de la Ley 39/2015 de 1 de Octubre de Procedimiento Administrativo Común de las  Administraciones Públicas.</w:t>
      </w:r>
    </w:p>
    <w:p>
      <w:pPr/>
      <w:r>
        <w:rPr/>
        <w:t xml:space="preserve">Desde esta sección podrá descargarse, consultar y realizar trámites de expedientes y formularios.</w:t>
      </w:r>
    </w:p>
    <w:p>
      <w:pPr/>
      <w:r>
        <w:rPr/>
        <w:t xml:space="preserve">  </w:t>
      </w:r>
    </w:p>
    <w:p>
      <w:pPr/>
      <w:r>
        <w:rPr/>
        <w:t xml:space="preserve"> </w:t>
      </w:r>
    </w:p>
    <w:tbl>
      <w:tblGrid>
        <w:gridCol w:w="13215" w:type="dxa"/>
      </w:tblGrid>
      <w:tblPr>
        <w:tblW w:w="13275" w:type="dxa"/>
        <w:tblCellSpacing w:w="0" w:type="dxa"/>
        <w:tblLayout w:type="autofit"/>
        <w:bidiVisual w:val="0"/>
        <w:tblBorders>
          <w:top w:val="single" w:sz="0.75"/>
          <w:left w:val="single" w:sz="0.75"/>
          <w:right w:val="single" w:sz="0.75"/>
          <w:bottom w:val="single" w:sz="0.75"/>
          <w:insideH w:val="single" w:sz="0.75"/>
          <w:insideV w:val="single" w:sz="0.75"/>
        </w:tblBorders>
      </w:tblPr>
      <w:tr>
        <w:trPr/>
        <w:tc>
          <w:tcPr>
            <w:tcW w:w="13215" w:type="dxa"/>
            <w:tcBorders>
              <w:top w:val="single" w:sz="0.75" w:color="32383e"/>
              <w:left w:val="single" w:sz="0.75" w:color="32383e"/>
              <w:right w:val="single" w:sz="0.75" w:color="32383e"/>
              <w:bottom w:val="single" w:sz="0.75" w:color="32383e"/>
            </w:tcBorders>
          </w:tcPr>
          <w:p>
            <w:pPr>
              <w:jc w:val="center"/>
              <w:spacing w:after="0" w:line="240" w:lineRule="auto"/>
            </w:pPr>
            <w:r>
              <w:rPr>
                <w:b w:val="1"/>
                <w:bCs w:val="1"/>
              </w:rPr>
              <w:t xml:space="preserve">Documento a descargar </w:t>
            </w: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2026-05-07T12:12:59+00:00</dcterms:created>
  <dcterms:modified xsi:type="dcterms:W3CDTF">2026-05-07T12:12:59+00:00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